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78EEC" w14:textId="77777777" w:rsidR="00D27704" w:rsidRPr="00D27704" w:rsidRDefault="00D27704" w:rsidP="00D27704">
      <w:pPr>
        <w:jc w:val="center"/>
        <w:rPr>
          <w:rFonts w:ascii="Times" w:eastAsia="Times New Roman" w:hAnsi="Times" w:cs="Times New Roman"/>
        </w:rPr>
      </w:pPr>
      <w:r w:rsidRPr="00D27704">
        <w:rPr>
          <w:rFonts w:ascii="Times" w:eastAsia="Times New Roman" w:hAnsi="Times" w:cs="Times New Roman"/>
        </w:rPr>
        <w:t>Replication Programs and Data for “</w:t>
      </w:r>
      <w:r w:rsidRPr="00D27704">
        <w:rPr>
          <w:rFonts w:ascii="Times" w:eastAsia="Times New Roman" w:hAnsi="Times" w:cs="Times New Roman"/>
        </w:rPr>
        <w:t>Business Credit Programs in the Pandemic Era</w:t>
      </w:r>
      <w:r w:rsidRPr="00D27704">
        <w:rPr>
          <w:rFonts w:ascii="Times" w:eastAsia="Times New Roman" w:hAnsi="Times" w:cs="Times New Roman"/>
        </w:rPr>
        <w:t>”</w:t>
      </w:r>
    </w:p>
    <w:p w14:paraId="12EC1B21" w14:textId="77777777" w:rsidR="00D27704" w:rsidRPr="00D27704" w:rsidRDefault="00D27704" w:rsidP="00D27704">
      <w:pPr>
        <w:jc w:val="center"/>
        <w:rPr>
          <w:rFonts w:ascii="Times" w:eastAsia="Times New Roman" w:hAnsi="Times" w:cs="Times New Roman"/>
        </w:rPr>
      </w:pPr>
    </w:p>
    <w:p w14:paraId="2481B15F" w14:textId="5D8E678F" w:rsidR="00944D28" w:rsidRPr="00D27704" w:rsidRDefault="00D27704" w:rsidP="00D27704">
      <w:pPr>
        <w:jc w:val="center"/>
        <w:rPr>
          <w:rFonts w:ascii="Times" w:eastAsia="Times New Roman" w:hAnsi="Times" w:cs="Times New Roman"/>
        </w:rPr>
      </w:pPr>
      <w:r w:rsidRPr="00D27704">
        <w:rPr>
          <w:rFonts w:ascii="Times" w:eastAsia="Times New Roman" w:hAnsi="Times" w:cs="Times New Roman"/>
        </w:rPr>
        <w:t xml:space="preserve">Samuel G. Hanson, Jeremy C. Stein, Adi </w:t>
      </w:r>
      <w:proofErr w:type="spellStart"/>
      <w:r w:rsidRPr="00D27704">
        <w:rPr>
          <w:rFonts w:ascii="Times" w:eastAsia="Times New Roman" w:hAnsi="Times" w:cs="Times New Roman"/>
        </w:rPr>
        <w:t>Sunderam</w:t>
      </w:r>
      <w:proofErr w:type="spellEnd"/>
      <w:r w:rsidRPr="00D27704">
        <w:rPr>
          <w:rFonts w:ascii="Times" w:eastAsia="Times New Roman" w:hAnsi="Times" w:cs="Times New Roman"/>
        </w:rPr>
        <w:t>, and Eric Zwick</w:t>
      </w:r>
    </w:p>
    <w:p w14:paraId="3B27D388" w14:textId="01EAE88B" w:rsidR="00D27704" w:rsidRPr="00D27704" w:rsidRDefault="00D27704" w:rsidP="00D27704">
      <w:pPr>
        <w:jc w:val="center"/>
        <w:rPr>
          <w:rFonts w:ascii="Times" w:eastAsia="Times New Roman" w:hAnsi="Times" w:cs="Times New Roman"/>
        </w:rPr>
      </w:pPr>
    </w:p>
    <w:p w14:paraId="7C8F9576" w14:textId="77777777" w:rsidR="00D27704" w:rsidRDefault="00D27704" w:rsidP="00D27704">
      <w:pPr>
        <w:rPr>
          <w:rFonts w:ascii="Times" w:hAnsi="Times"/>
        </w:rPr>
      </w:pPr>
    </w:p>
    <w:p w14:paraId="79FACABB" w14:textId="77777777" w:rsidR="00D27704" w:rsidRDefault="00D27704" w:rsidP="00D27704">
      <w:pPr>
        <w:rPr>
          <w:rFonts w:ascii="Times" w:hAnsi="Times"/>
        </w:rPr>
      </w:pPr>
    </w:p>
    <w:p w14:paraId="2BE7D1B2" w14:textId="2B65C31C" w:rsidR="00D27704" w:rsidRPr="00D27704" w:rsidRDefault="00D27704" w:rsidP="00D27704">
      <w:pPr>
        <w:rPr>
          <w:rFonts w:ascii="Times" w:hAnsi="Times"/>
          <w:u w:val="single"/>
        </w:rPr>
      </w:pPr>
      <w:r w:rsidRPr="00D27704">
        <w:rPr>
          <w:rFonts w:ascii="Times" w:hAnsi="Times"/>
          <w:u w:val="single"/>
        </w:rPr>
        <w:t>Description of replication directories</w:t>
      </w:r>
    </w:p>
    <w:p w14:paraId="43A8510F" w14:textId="254065AA" w:rsidR="00D27704" w:rsidRDefault="00D27704" w:rsidP="00D27704">
      <w:pPr>
        <w:rPr>
          <w:rFonts w:ascii="Times" w:hAnsi="Times"/>
        </w:rPr>
      </w:pPr>
    </w:p>
    <w:p w14:paraId="3288FCCE" w14:textId="3E63BDF7" w:rsidR="00D27704" w:rsidRDefault="00D27704" w:rsidP="00D27704">
      <w:pPr>
        <w:rPr>
          <w:rFonts w:ascii="Times" w:hAnsi="Times"/>
        </w:rPr>
      </w:pPr>
      <w:r>
        <w:rPr>
          <w:rFonts w:ascii="Times" w:hAnsi="Times"/>
        </w:rPr>
        <w:t>This folder contains data and programs to replicate Table 3 and Figures 1-3 in the paper. The tables and figures are made using Stata 16.1. Running the Stata code simply requires editing the local `home’ variable that specifies the user’s local path</w:t>
      </w:r>
      <w:r w:rsidR="0078271B">
        <w:rPr>
          <w:rFonts w:ascii="Times" w:hAnsi="Times"/>
        </w:rPr>
        <w:t xml:space="preserve"> to the replication folder</w:t>
      </w:r>
      <w:r>
        <w:rPr>
          <w:rFonts w:ascii="Times" w:hAnsi="Times"/>
        </w:rPr>
        <w:t>. The folder is structured as follows:</w:t>
      </w:r>
    </w:p>
    <w:p w14:paraId="6358831F" w14:textId="77777777" w:rsidR="00282CA8" w:rsidRDefault="00282CA8" w:rsidP="00282CA8">
      <w:pPr>
        <w:rPr>
          <w:rFonts w:ascii="Times" w:hAnsi="Times"/>
          <w:u w:val="single"/>
        </w:rPr>
      </w:pPr>
    </w:p>
    <w:p w14:paraId="6B65723D" w14:textId="07217215" w:rsidR="005F1F3A" w:rsidRDefault="000C14BB" w:rsidP="00282CA8">
      <w:pPr>
        <w:rPr>
          <w:rFonts w:ascii="Times" w:hAnsi="Times"/>
        </w:rPr>
      </w:pPr>
      <w:r>
        <w:rPr>
          <w:rFonts w:ascii="Times" w:hAnsi="Times"/>
          <w:u w:val="single"/>
        </w:rPr>
        <w:t>/</w:t>
      </w:r>
      <w:r w:rsidR="00282CA8" w:rsidRPr="00D27704">
        <w:rPr>
          <w:rFonts w:ascii="Times" w:hAnsi="Times"/>
          <w:u w:val="single"/>
        </w:rPr>
        <w:t>data</w:t>
      </w:r>
      <w:r w:rsidR="00282CA8">
        <w:rPr>
          <w:rFonts w:ascii="Times" w:hAnsi="Times"/>
        </w:rPr>
        <w:t xml:space="preserve"> </w:t>
      </w:r>
      <w:r w:rsidR="00282CA8" w:rsidRPr="00D27704">
        <w:rPr>
          <w:rFonts w:ascii="Times" w:hAnsi="Times"/>
        </w:rPr>
        <w:t>contains</w:t>
      </w:r>
      <w:r w:rsidR="00282CA8">
        <w:rPr>
          <w:rFonts w:ascii="Times" w:hAnsi="Times"/>
        </w:rPr>
        <w:t xml:space="preserve"> </w:t>
      </w:r>
      <w:r w:rsidR="005F1F3A">
        <w:rPr>
          <w:rFonts w:ascii="Times" w:hAnsi="Times"/>
        </w:rPr>
        <w:t xml:space="preserve">clean Stata </w:t>
      </w:r>
      <w:proofErr w:type="spellStart"/>
      <w:r w:rsidR="005F1F3A">
        <w:rPr>
          <w:rFonts w:ascii="Times" w:hAnsi="Times"/>
        </w:rPr>
        <w:t>dta</w:t>
      </w:r>
      <w:proofErr w:type="spellEnd"/>
      <w:r w:rsidR="005F1F3A">
        <w:rPr>
          <w:rFonts w:ascii="Times" w:hAnsi="Times"/>
        </w:rPr>
        <w:t xml:space="preserve"> files to reproduce the figures.</w:t>
      </w:r>
      <w:r w:rsidR="005E0DD4">
        <w:rPr>
          <w:rFonts w:ascii="Times" w:hAnsi="Times"/>
        </w:rPr>
        <w:t xml:space="preserve"> Most data are imported directly from the FRED database; see below. </w:t>
      </w:r>
    </w:p>
    <w:p w14:paraId="046226AA" w14:textId="216CC061" w:rsidR="00282CA8" w:rsidRDefault="005F1F3A" w:rsidP="005F1F3A">
      <w:pPr>
        <w:ind w:firstLine="720"/>
        <w:rPr>
          <w:rFonts w:ascii="Times" w:hAnsi="Times"/>
        </w:rPr>
      </w:pPr>
      <w:r>
        <w:rPr>
          <w:rFonts w:ascii="Times" w:hAnsi="Times"/>
        </w:rPr>
        <w:t xml:space="preserve"> </w:t>
      </w:r>
      <w:r w:rsidR="000C14BB">
        <w:rPr>
          <w:rFonts w:ascii="Times" w:hAnsi="Times"/>
          <w:u w:val="single"/>
        </w:rPr>
        <w:t>/</w:t>
      </w:r>
      <w:proofErr w:type="spellStart"/>
      <w:r w:rsidRPr="005F1F3A">
        <w:rPr>
          <w:rFonts w:ascii="Times" w:hAnsi="Times"/>
          <w:u w:val="single"/>
        </w:rPr>
        <w:t>rawdata</w:t>
      </w:r>
      <w:proofErr w:type="spellEnd"/>
      <w:r>
        <w:rPr>
          <w:rFonts w:ascii="Times" w:hAnsi="Times"/>
        </w:rPr>
        <w:t xml:space="preserve"> contains the following </w:t>
      </w:r>
      <w:r w:rsidR="00DB5050">
        <w:rPr>
          <w:rFonts w:ascii="Times" w:hAnsi="Times"/>
        </w:rPr>
        <w:t>CSV</w:t>
      </w:r>
      <w:r w:rsidR="005E0DD4">
        <w:rPr>
          <w:rFonts w:ascii="Times" w:hAnsi="Times"/>
        </w:rPr>
        <w:t xml:space="preserve"> </w:t>
      </w:r>
      <w:r>
        <w:rPr>
          <w:rFonts w:ascii="Times" w:hAnsi="Times"/>
        </w:rPr>
        <w:t>files:</w:t>
      </w:r>
    </w:p>
    <w:p w14:paraId="36A305C3" w14:textId="3BF685C7" w:rsidR="005F1F3A" w:rsidRDefault="005E0DD4" w:rsidP="005E0DD4">
      <w:pPr>
        <w:pStyle w:val="ListParagraph"/>
        <w:numPr>
          <w:ilvl w:val="0"/>
          <w:numId w:val="2"/>
        </w:numPr>
        <w:rPr>
          <w:rFonts w:ascii="Times" w:hAnsi="Times"/>
        </w:rPr>
      </w:pPr>
      <w:proofErr w:type="spellStart"/>
      <w:r w:rsidRPr="005E0DD4">
        <w:rPr>
          <w:rFonts w:ascii="Times" w:hAnsi="Times"/>
        </w:rPr>
        <w:t>spf_dispersion</w:t>
      </w:r>
      <w:proofErr w:type="spellEnd"/>
      <w:r w:rsidRPr="005E0DD4">
        <w:rPr>
          <w:rFonts w:ascii="Times" w:hAnsi="Times"/>
        </w:rPr>
        <w:t xml:space="preserve"> contains m</w:t>
      </w:r>
      <w:r w:rsidRPr="005E0DD4">
        <w:rPr>
          <w:rFonts w:ascii="Times" w:hAnsi="Times"/>
        </w:rPr>
        <w:t xml:space="preserve">easures of </w:t>
      </w:r>
      <w:r w:rsidRPr="005E0DD4">
        <w:rPr>
          <w:rFonts w:ascii="Times" w:hAnsi="Times"/>
        </w:rPr>
        <w:t>c</w:t>
      </w:r>
      <w:r w:rsidRPr="005E0DD4">
        <w:rPr>
          <w:rFonts w:ascii="Times" w:hAnsi="Times"/>
        </w:rPr>
        <w:t>ross-</w:t>
      </w:r>
      <w:r w:rsidRPr="005E0DD4">
        <w:rPr>
          <w:rFonts w:ascii="Times" w:hAnsi="Times"/>
        </w:rPr>
        <w:t>s</w:t>
      </w:r>
      <w:r w:rsidRPr="005E0DD4">
        <w:rPr>
          <w:rFonts w:ascii="Times" w:hAnsi="Times"/>
        </w:rPr>
        <w:t xml:space="preserve">ectional </w:t>
      </w:r>
      <w:r w:rsidRPr="005E0DD4">
        <w:rPr>
          <w:rFonts w:ascii="Times" w:hAnsi="Times"/>
        </w:rPr>
        <w:t>f</w:t>
      </w:r>
      <w:r w:rsidRPr="005E0DD4">
        <w:rPr>
          <w:rFonts w:ascii="Times" w:hAnsi="Times"/>
        </w:rPr>
        <w:t xml:space="preserve">orecast </w:t>
      </w:r>
      <w:r w:rsidRPr="005E0DD4">
        <w:rPr>
          <w:rFonts w:ascii="Times" w:hAnsi="Times"/>
        </w:rPr>
        <w:t>d</w:t>
      </w:r>
      <w:r w:rsidRPr="005E0DD4">
        <w:rPr>
          <w:rFonts w:ascii="Times" w:hAnsi="Times"/>
        </w:rPr>
        <w:t xml:space="preserve">ispersion </w:t>
      </w:r>
      <w:r w:rsidRPr="005E0DD4">
        <w:rPr>
          <w:rFonts w:ascii="Times" w:hAnsi="Times"/>
        </w:rPr>
        <w:t xml:space="preserve">in the Survey of Professional Forecasters. The data can be downloaded from the Federal Reserve Bank of Philadelphia’s </w:t>
      </w:r>
      <w:hyperlink r:id="rId5" w:history="1">
        <w:r w:rsidRPr="005E0DD4">
          <w:rPr>
            <w:rStyle w:val="Hyperlink"/>
            <w:rFonts w:ascii="Times" w:hAnsi="Times"/>
          </w:rPr>
          <w:t>website</w:t>
        </w:r>
      </w:hyperlink>
      <w:r w:rsidRPr="005E0DD4">
        <w:rPr>
          <w:rFonts w:ascii="Times" w:hAnsi="Times"/>
        </w:rPr>
        <w:t xml:space="preserve">. </w:t>
      </w:r>
    </w:p>
    <w:p w14:paraId="137B8320" w14:textId="7BF215E0" w:rsidR="00282CA8" w:rsidRPr="005E0DD4" w:rsidRDefault="005E0DD4" w:rsidP="00D27704">
      <w:pPr>
        <w:pStyle w:val="ListParagraph"/>
        <w:numPr>
          <w:ilvl w:val="0"/>
          <w:numId w:val="2"/>
        </w:numPr>
        <w:rPr>
          <w:rFonts w:ascii="Times" w:hAnsi="Times"/>
          <w:u w:val="single"/>
        </w:rPr>
      </w:pPr>
      <w:proofErr w:type="spellStart"/>
      <w:r w:rsidRPr="005E0DD4">
        <w:rPr>
          <w:rFonts w:ascii="Times" w:hAnsi="Times"/>
          <w:u w:val="single"/>
        </w:rPr>
        <w:t>covidevents</w:t>
      </w:r>
      <w:proofErr w:type="spellEnd"/>
      <w:r>
        <w:rPr>
          <w:rFonts w:ascii="Times" w:hAnsi="Times"/>
        </w:rPr>
        <w:t xml:space="preserve"> contains event dates and labels used in the figures. The data were written by the authors, using various sources cited in the data file. </w:t>
      </w:r>
    </w:p>
    <w:p w14:paraId="3F84D6BA" w14:textId="662E85DE" w:rsidR="00D27704" w:rsidRDefault="00D27704" w:rsidP="00D27704">
      <w:pPr>
        <w:rPr>
          <w:rFonts w:ascii="Times" w:hAnsi="Times"/>
        </w:rPr>
      </w:pPr>
    </w:p>
    <w:p w14:paraId="21D28FDC" w14:textId="646C15AC" w:rsidR="00D27704" w:rsidRDefault="000C14BB" w:rsidP="00D27704">
      <w:pPr>
        <w:rPr>
          <w:rFonts w:ascii="Times" w:hAnsi="Times"/>
        </w:rPr>
      </w:pPr>
      <w:r>
        <w:rPr>
          <w:rFonts w:ascii="Times" w:hAnsi="Times"/>
          <w:u w:val="single"/>
        </w:rPr>
        <w:t>/</w:t>
      </w:r>
      <w:r w:rsidR="00D27704" w:rsidRPr="00D27704">
        <w:rPr>
          <w:rFonts w:ascii="Times" w:hAnsi="Times"/>
          <w:u w:val="single"/>
        </w:rPr>
        <w:t>code</w:t>
      </w:r>
      <w:r w:rsidR="00D27704">
        <w:rPr>
          <w:rFonts w:ascii="Times" w:hAnsi="Times"/>
        </w:rPr>
        <w:t xml:space="preserve"> contains the following code to produce the tables and figures:</w:t>
      </w:r>
    </w:p>
    <w:p w14:paraId="096AD432" w14:textId="77777777" w:rsidR="00926DFB" w:rsidRPr="00926DFB" w:rsidRDefault="00926DFB" w:rsidP="00926DFB">
      <w:pPr>
        <w:rPr>
          <w:rFonts w:ascii="Times" w:hAnsi="Times"/>
        </w:rPr>
      </w:pPr>
    </w:p>
    <w:p w14:paraId="023F8601" w14:textId="31703558" w:rsidR="0078271B" w:rsidRDefault="0078271B" w:rsidP="0078271B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78271B">
        <w:rPr>
          <w:rFonts w:ascii="Times" w:hAnsi="Times"/>
          <w:u w:val="single"/>
        </w:rPr>
        <w:t>importyields.do</w:t>
      </w:r>
      <w:r w:rsidRPr="0078271B">
        <w:rPr>
          <w:rFonts w:ascii="Times" w:hAnsi="Times"/>
        </w:rPr>
        <w:t xml:space="preserve"> imports </w:t>
      </w:r>
      <w:r w:rsidR="00926DFB" w:rsidRPr="0078271B">
        <w:rPr>
          <w:rFonts w:ascii="Times" w:hAnsi="Times"/>
        </w:rPr>
        <w:t>ICE Bank of America/Merrill Lynch Corporate Bond Indices</w:t>
      </w:r>
      <w:r w:rsidR="00926DFB">
        <w:rPr>
          <w:rFonts w:ascii="Times" w:hAnsi="Times"/>
        </w:rPr>
        <w:t xml:space="preserve"> and CBOE VIX index </w:t>
      </w:r>
      <w:r w:rsidRPr="0078271B">
        <w:rPr>
          <w:rFonts w:ascii="Times" w:hAnsi="Times"/>
        </w:rPr>
        <w:t xml:space="preserve">data using the FRED API, the St. Louis Fed’s database. To run the </w:t>
      </w:r>
      <w:r w:rsidR="00926DFB">
        <w:rPr>
          <w:rFonts w:ascii="Times" w:hAnsi="Times"/>
        </w:rPr>
        <w:t xml:space="preserve">do </w:t>
      </w:r>
      <w:r w:rsidRPr="0078271B">
        <w:rPr>
          <w:rFonts w:ascii="Times" w:hAnsi="Times"/>
        </w:rPr>
        <w:t xml:space="preserve">file the user will need to obtain a FRED API key; instructions to do so are in the code. Because the </w:t>
      </w:r>
      <w:r w:rsidR="00926DFB">
        <w:rPr>
          <w:rFonts w:ascii="Times" w:hAnsi="Times"/>
        </w:rPr>
        <w:t>imported</w:t>
      </w:r>
      <w:r w:rsidRPr="0078271B">
        <w:rPr>
          <w:rFonts w:ascii="Times" w:hAnsi="Times"/>
        </w:rPr>
        <w:t xml:space="preserve"> data are saved in the replication folder, this may not be necessary. </w:t>
      </w:r>
      <w:r w:rsidR="00926DFB">
        <w:rPr>
          <w:rFonts w:ascii="Times" w:hAnsi="Times"/>
        </w:rPr>
        <w:t xml:space="preserve">These data may also be downloaded directly from the </w:t>
      </w:r>
      <w:hyperlink r:id="rId6" w:history="1">
        <w:r w:rsidR="00926DFB" w:rsidRPr="00926DFB">
          <w:rPr>
            <w:rStyle w:val="Hyperlink"/>
            <w:rFonts w:ascii="Times" w:hAnsi="Times"/>
          </w:rPr>
          <w:t>FRED website</w:t>
        </w:r>
      </w:hyperlink>
      <w:r w:rsidR="00926DFB">
        <w:rPr>
          <w:rFonts w:ascii="Times" w:hAnsi="Times"/>
        </w:rPr>
        <w:t xml:space="preserve">. </w:t>
      </w:r>
    </w:p>
    <w:p w14:paraId="23EF29DD" w14:textId="48EC87DF" w:rsidR="00926DFB" w:rsidRPr="00926DFB" w:rsidRDefault="00926DFB" w:rsidP="00926DFB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78271B">
        <w:rPr>
          <w:rFonts w:ascii="Times" w:hAnsi="Times"/>
          <w:u w:val="single"/>
        </w:rPr>
        <w:t>import</w:t>
      </w:r>
      <w:r>
        <w:rPr>
          <w:rFonts w:ascii="Times" w:hAnsi="Times"/>
          <w:u w:val="single"/>
        </w:rPr>
        <w:t>fredquarterly</w:t>
      </w:r>
      <w:r w:rsidRPr="0078271B">
        <w:rPr>
          <w:rFonts w:ascii="Times" w:hAnsi="Times"/>
          <w:u w:val="single"/>
        </w:rPr>
        <w:t>.do</w:t>
      </w:r>
      <w:r w:rsidRPr="0078271B">
        <w:rPr>
          <w:rFonts w:ascii="Times" w:hAnsi="Times"/>
        </w:rPr>
        <w:t xml:space="preserve"> imports </w:t>
      </w:r>
      <w:r>
        <w:rPr>
          <w:rFonts w:ascii="Times" w:hAnsi="Times"/>
        </w:rPr>
        <w:t xml:space="preserve">a </w:t>
      </w:r>
      <w:r w:rsidR="00DB5050">
        <w:rPr>
          <w:rFonts w:ascii="Times" w:hAnsi="Times"/>
        </w:rPr>
        <w:t>quarterly</w:t>
      </w:r>
      <w:r>
        <w:rPr>
          <w:rFonts w:ascii="Times" w:hAnsi="Times"/>
        </w:rPr>
        <w:t xml:space="preserve"> </w:t>
      </w:r>
      <w:r>
        <w:rPr>
          <w:rFonts w:ascii="Times" w:hAnsi="Times"/>
        </w:rPr>
        <w:t>recession dating series from the National Bureau of Economic Research</w:t>
      </w:r>
      <w:r w:rsidRPr="0078271B">
        <w:rPr>
          <w:rFonts w:ascii="Times" w:hAnsi="Times"/>
        </w:rPr>
        <w:t xml:space="preserve"> </w:t>
      </w:r>
      <w:r w:rsidRPr="0078271B">
        <w:rPr>
          <w:rFonts w:ascii="Times" w:hAnsi="Times"/>
        </w:rPr>
        <w:t xml:space="preserve">using the FRED API, the St. Louis Fed’s database. </w:t>
      </w:r>
    </w:p>
    <w:p w14:paraId="6F1AC146" w14:textId="647F17F1" w:rsidR="0078271B" w:rsidRDefault="0078271B" w:rsidP="0078271B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78271B">
        <w:rPr>
          <w:rFonts w:ascii="Times" w:hAnsi="Times"/>
          <w:u w:val="single"/>
        </w:rPr>
        <w:t>clean_covidevents.do</w:t>
      </w:r>
      <w:r w:rsidRPr="0078271B">
        <w:rPr>
          <w:rFonts w:ascii="Times" w:hAnsi="Times"/>
        </w:rPr>
        <w:t xml:space="preserve"> imports and cleans </w:t>
      </w:r>
      <w:r w:rsidR="00DB5050" w:rsidRPr="005E0DD4">
        <w:rPr>
          <w:rFonts w:ascii="Times" w:hAnsi="Times"/>
          <w:u w:val="single"/>
        </w:rPr>
        <w:t>covidevents</w:t>
      </w:r>
      <w:r w:rsidR="00DB5050">
        <w:rPr>
          <w:rFonts w:ascii="Times" w:hAnsi="Times"/>
          <w:u w:val="single"/>
        </w:rPr>
        <w:t>.csv</w:t>
      </w:r>
      <w:r w:rsidRPr="0078271B">
        <w:rPr>
          <w:rFonts w:ascii="Times" w:hAnsi="Times"/>
        </w:rPr>
        <w:t>.</w:t>
      </w:r>
    </w:p>
    <w:p w14:paraId="3CA2E312" w14:textId="2C018C33" w:rsidR="00DB5050" w:rsidRPr="00DB5050" w:rsidRDefault="00926DFB" w:rsidP="00DB5050">
      <w:pPr>
        <w:pStyle w:val="ListParagraph"/>
        <w:numPr>
          <w:ilvl w:val="0"/>
          <w:numId w:val="1"/>
        </w:numPr>
        <w:rPr>
          <w:rFonts w:ascii="Times" w:hAnsi="Times"/>
          <w:u w:val="single"/>
        </w:rPr>
      </w:pPr>
      <w:r>
        <w:rPr>
          <w:rFonts w:ascii="Times" w:hAnsi="Times"/>
          <w:u w:val="single"/>
        </w:rPr>
        <w:t>Table1</w:t>
      </w:r>
      <w:r w:rsidR="0078271B">
        <w:rPr>
          <w:rFonts w:ascii="Times" w:hAnsi="Times"/>
          <w:u w:val="single"/>
        </w:rPr>
        <w:t>.do</w:t>
      </w:r>
      <w:r w:rsidR="0078271B">
        <w:rPr>
          <w:rFonts w:ascii="Times" w:hAnsi="Times"/>
        </w:rPr>
        <w:t xml:space="preserve"> performs the calculations to reproduce Table 1, and outputs the table as “</w:t>
      </w:r>
      <w:r w:rsidR="0078271B" w:rsidRPr="0078271B">
        <w:rPr>
          <w:rFonts w:ascii="Times" w:hAnsi="Times"/>
        </w:rPr>
        <w:t>_tab_new.csv</w:t>
      </w:r>
      <w:r w:rsidR="0078271B">
        <w:rPr>
          <w:rFonts w:ascii="Times" w:hAnsi="Times"/>
        </w:rPr>
        <w:t xml:space="preserve">” in </w:t>
      </w:r>
      <w:r w:rsidR="0078271B">
        <w:rPr>
          <w:rFonts w:ascii="Times" w:hAnsi="Times"/>
          <w:u w:val="single"/>
        </w:rPr>
        <w:t>/output.</w:t>
      </w:r>
    </w:p>
    <w:p w14:paraId="549BE4B0" w14:textId="5A9A58FA" w:rsidR="00DB5050" w:rsidRPr="00DB5050" w:rsidRDefault="00DB5050" w:rsidP="005F1F3A">
      <w:pPr>
        <w:pStyle w:val="ListParagraph"/>
        <w:numPr>
          <w:ilvl w:val="0"/>
          <w:numId w:val="1"/>
        </w:numPr>
        <w:rPr>
          <w:rFonts w:ascii="Times" w:hAnsi="Times"/>
          <w:u w:val="single"/>
        </w:rPr>
      </w:pPr>
      <w:r>
        <w:rPr>
          <w:rFonts w:ascii="Times" w:hAnsi="Times"/>
          <w:u w:val="single"/>
        </w:rPr>
        <w:t>Figure1</w:t>
      </w:r>
      <w:r w:rsidR="00593FC7" w:rsidRPr="00DB5050">
        <w:rPr>
          <w:rFonts w:ascii="Times" w:hAnsi="Times"/>
          <w:u w:val="single"/>
        </w:rPr>
        <w:t>.do</w:t>
      </w:r>
      <w:r w:rsidR="00593FC7" w:rsidRPr="00DB5050">
        <w:rPr>
          <w:rFonts w:ascii="Times" w:hAnsi="Times"/>
        </w:rPr>
        <w:t xml:space="preserve"> generates Figure 1</w:t>
      </w:r>
      <w:r w:rsidR="000C14BB">
        <w:rPr>
          <w:rFonts w:ascii="Times" w:hAnsi="Times"/>
        </w:rPr>
        <w:t xml:space="preserve"> and outputs the figure in </w:t>
      </w:r>
      <w:r w:rsidR="000C14BB">
        <w:rPr>
          <w:rFonts w:ascii="Times" w:hAnsi="Times"/>
          <w:u w:val="single"/>
        </w:rPr>
        <w:t>/output.</w:t>
      </w:r>
    </w:p>
    <w:p w14:paraId="42C06659" w14:textId="77777777" w:rsidR="000C14BB" w:rsidRPr="00DB5050" w:rsidRDefault="000C14BB" w:rsidP="000C14BB">
      <w:pPr>
        <w:pStyle w:val="ListParagraph"/>
        <w:numPr>
          <w:ilvl w:val="0"/>
          <w:numId w:val="1"/>
        </w:numPr>
        <w:rPr>
          <w:rFonts w:ascii="Times" w:hAnsi="Times"/>
          <w:u w:val="single"/>
        </w:rPr>
      </w:pPr>
      <w:r w:rsidRPr="00DB5050">
        <w:rPr>
          <w:rFonts w:ascii="Times" w:hAnsi="Times"/>
          <w:u w:val="single"/>
        </w:rPr>
        <w:t>Figure2.do</w:t>
      </w:r>
      <w:r>
        <w:rPr>
          <w:rFonts w:ascii="Times" w:hAnsi="Times"/>
        </w:rPr>
        <w:t xml:space="preserve"> generates </w:t>
      </w:r>
      <w:r w:rsidRPr="00DB5050">
        <w:rPr>
          <w:rFonts w:ascii="Times" w:hAnsi="Times"/>
        </w:rPr>
        <w:t xml:space="preserve">Figure 2. </w:t>
      </w:r>
    </w:p>
    <w:p w14:paraId="6A234F41" w14:textId="6E545864" w:rsidR="000C14BB" w:rsidRPr="000C14BB" w:rsidRDefault="000C14BB" w:rsidP="000C14BB">
      <w:pPr>
        <w:pStyle w:val="ListParagraph"/>
        <w:numPr>
          <w:ilvl w:val="0"/>
          <w:numId w:val="1"/>
        </w:numPr>
        <w:rPr>
          <w:rFonts w:ascii="Times" w:hAnsi="Times"/>
          <w:u w:val="single"/>
        </w:rPr>
      </w:pPr>
      <w:r w:rsidRPr="00DB5050">
        <w:rPr>
          <w:rFonts w:ascii="Times" w:hAnsi="Times"/>
          <w:u w:val="single"/>
        </w:rPr>
        <w:t>Figure</w:t>
      </w:r>
      <w:r>
        <w:rPr>
          <w:rFonts w:ascii="Times" w:hAnsi="Times"/>
          <w:u w:val="single"/>
        </w:rPr>
        <w:t>3</w:t>
      </w:r>
      <w:r w:rsidRPr="00DB5050">
        <w:rPr>
          <w:rFonts w:ascii="Times" w:hAnsi="Times"/>
          <w:u w:val="single"/>
        </w:rPr>
        <w:t>.do</w:t>
      </w:r>
      <w:r>
        <w:rPr>
          <w:rFonts w:ascii="Times" w:hAnsi="Times"/>
        </w:rPr>
        <w:t xml:space="preserve"> generates </w:t>
      </w:r>
      <w:r w:rsidRPr="00DB5050">
        <w:rPr>
          <w:rFonts w:ascii="Times" w:hAnsi="Times"/>
        </w:rPr>
        <w:t xml:space="preserve">Figure 2. </w:t>
      </w:r>
    </w:p>
    <w:p w14:paraId="34CFF1E9" w14:textId="77777777" w:rsidR="000C14BB" w:rsidRPr="000C14BB" w:rsidRDefault="000C14BB" w:rsidP="000C14BB">
      <w:pPr>
        <w:rPr>
          <w:rFonts w:ascii="Times" w:hAnsi="Times"/>
          <w:u w:val="single"/>
        </w:rPr>
      </w:pPr>
    </w:p>
    <w:p w14:paraId="5087E377" w14:textId="1EB1DC57" w:rsidR="0078271B" w:rsidRPr="005F0DF5" w:rsidRDefault="005F0DF5" w:rsidP="0078271B">
      <w:pPr>
        <w:rPr>
          <w:rFonts w:ascii="Times" w:hAnsi="Times"/>
        </w:rPr>
      </w:pPr>
      <w:r>
        <w:rPr>
          <w:rFonts w:ascii="Times" w:hAnsi="Times"/>
          <w:u w:val="single"/>
        </w:rPr>
        <w:t>/</w:t>
      </w:r>
      <w:r>
        <w:rPr>
          <w:rFonts w:ascii="Times" w:hAnsi="Times"/>
          <w:u w:val="single"/>
        </w:rPr>
        <w:t>output</w:t>
      </w:r>
      <w:r>
        <w:rPr>
          <w:rFonts w:ascii="Times" w:hAnsi="Times"/>
        </w:rPr>
        <w:t xml:space="preserve"> contains the tables and figures generated by the programs. </w:t>
      </w:r>
    </w:p>
    <w:p w14:paraId="11440B2A" w14:textId="3433C648" w:rsidR="00D27704" w:rsidRDefault="00D27704" w:rsidP="00D27704">
      <w:pPr>
        <w:rPr>
          <w:rFonts w:ascii="Times" w:hAnsi="Times"/>
        </w:rPr>
      </w:pPr>
      <w:r>
        <w:rPr>
          <w:rFonts w:ascii="Times" w:hAnsi="Times"/>
        </w:rPr>
        <w:tab/>
      </w:r>
    </w:p>
    <w:p w14:paraId="414A8B41" w14:textId="63CD00F2" w:rsidR="00D27704" w:rsidRDefault="00D27704" w:rsidP="00D27704">
      <w:pPr>
        <w:rPr>
          <w:rFonts w:ascii="Times" w:hAnsi="Times"/>
        </w:rPr>
      </w:pPr>
    </w:p>
    <w:p w14:paraId="528A3C68" w14:textId="77777777" w:rsidR="00D27704" w:rsidRPr="00D27704" w:rsidRDefault="00D27704" w:rsidP="00D27704">
      <w:pPr>
        <w:rPr>
          <w:rFonts w:ascii="Times" w:hAnsi="Times"/>
        </w:rPr>
      </w:pPr>
    </w:p>
    <w:sectPr w:rsidR="00D27704" w:rsidRPr="00D27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51B7A"/>
    <w:multiLevelType w:val="hybridMultilevel"/>
    <w:tmpl w:val="FCC6CA1C"/>
    <w:lvl w:ilvl="0" w:tplc="81CAAF9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A037BF4"/>
    <w:multiLevelType w:val="hybridMultilevel"/>
    <w:tmpl w:val="3E14E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704"/>
    <w:rsid w:val="00011AE7"/>
    <w:rsid w:val="000900B0"/>
    <w:rsid w:val="000A71CF"/>
    <w:rsid w:val="000C14BB"/>
    <w:rsid w:val="000F17B8"/>
    <w:rsid w:val="001F1D52"/>
    <w:rsid w:val="00260B99"/>
    <w:rsid w:val="00282CA8"/>
    <w:rsid w:val="00333ED9"/>
    <w:rsid w:val="00337C34"/>
    <w:rsid w:val="00366BC6"/>
    <w:rsid w:val="004642E4"/>
    <w:rsid w:val="00593FC7"/>
    <w:rsid w:val="005E0DD4"/>
    <w:rsid w:val="005F0DF5"/>
    <w:rsid w:val="005F1F3A"/>
    <w:rsid w:val="006912BB"/>
    <w:rsid w:val="007633F9"/>
    <w:rsid w:val="007715B4"/>
    <w:rsid w:val="0078271B"/>
    <w:rsid w:val="00797994"/>
    <w:rsid w:val="00821E5C"/>
    <w:rsid w:val="00926DFB"/>
    <w:rsid w:val="00AA7598"/>
    <w:rsid w:val="00B640FD"/>
    <w:rsid w:val="00C51FDC"/>
    <w:rsid w:val="00D27704"/>
    <w:rsid w:val="00DB5050"/>
    <w:rsid w:val="00DF1FF8"/>
    <w:rsid w:val="00E4425D"/>
    <w:rsid w:val="00ED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BF107D"/>
  <w15:chartTrackingRefBased/>
  <w15:docId w15:val="{4CC9342B-2381-5849-935D-DE630A07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7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0D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0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933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6" w:color="D8D8D8"/>
          </w:divBdr>
          <w:divsChild>
            <w:div w:id="3784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ed.stlouisfed.org/series/BAMLH0A3HYC" TargetMode="External"/><Relationship Id="rId5" Type="http://schemas.openxmlformats.org/officeDocument/2006/relationships/hyperlink" Target="https://www.philadelphiafed.org/research-and-data/real-time-center/survey-of-professional-forecasters/data-files/rgd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Business School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Belz, Sage</dc:creator>
  <cp:keywords/>
  <dc:description/>
  <cp:lastModifiedBy>Belz, Sage</cp:lastModifiedBy>
  <cp:revision>4</cp:revision>
  <dcterms:created xsi:type="dcterms:W3CDTF">2020-10-15T13:41:00Z</dcterms:created>
  <dcterms:modified xsi:type="dcterms:W3CDTF">2020-10-15T17:06:00Z</dcterms:modified>
</cp:coreProperties>
</file>